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0B489" w14:textId="77777777" w:rsidR="00667044" w:rsidRPr="00F011F8" w:rsidRDefault="00F011F8" w:rsidP="00FA4990">
      <w:pPr>
        <w:pStyle w:val="a3"/>
        <w:ind w:left="0" w:right="0"/>
        <w:rPr>
          <w:sz w:val="22"/>
          <w:szCs w:val="22"/>
          <w:lang w:val="en-US"/>
        </w:rPr>
      </w:pPr>
      <w:r w:rsidRPr="00F011F8">
        <w:rPr>
          <w:sz w:val="22"/>
          <w:szCs w:val="22"/>
          <w:lang w:val="en-US"/>
        </w:rPr>
        <w:t>Corporate action notice/Insider information disclosure</w:t>
      </w:r>
    </w:p>
    <w:p w14:paraId="57CAA490" w14:textId="77777777" w:rsidR="00667044" w:rsidRPr="00F011F8" w:rsidRDefault="00F011F8" w:rsidP="00FA4990">
      <w:pPr>
        <w:pStyle w:val="a3"/>
        <w:ind w:left="0" w:right="0"/>
        <w:rPr>
          <w:sz w:val="22"/>
          <w:szCs w:val="22"/>
          <w:lang w:val="en-US"/>
        </w:rPr>
      </w:pPr>
      <w:r w:rsidRPr="00F011F8">
        <w:rPr>
          <w:sz w:val="22"/>
          <w:szCs w:val="22"/>
          <w:lang w:val="en-US"/>
        </w:rPr>
        <w:t>"On holding the meeting of the Board of Directors of IDGC of the South, PJSC and its agenda"</w:t>
      </w: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1"/>
        <w:gridCol w:w="929"/>
        <w:gridCol w:w="1301"/>
        <w:gridCol w:w="1340"/>
        <w:gridCol w:w="713"/>
        <w:gridCol w:w="1428"/>
        <w:gridCol w:w="2818"/>
      </w:tblGrid>
      <w:tr w:rsidR="00CC0DF0" w:rsidRPr="00F011F8" w14:paraId="7C057693" w14:textId="77777777" w:rsidTr="00FA4990">
        <w:trPr>
          <w:trHeight w:val="20"/>
        </w:trPr>
        <w:tc>
          <w:tcPr>
            <w:tcW w:w="5000" w:type="pct"/>
            <w:gridSpan w:val="7"/>
          </w:tcPr>
          <w:p w14:paraId="14181C61" w14:textId="77777777" w:rsidR="00667044" w:rsidRPr="00F011F8" w:rsidRDefault="00F011F8" w:rsidP="00FA4990">
            <w:pPr>
              <w:pStyle w:val="TableParagraph"/>
              <w:ind w:left="0"/>
              <w:jc w:val="center"/>
              <w:rPr>
                <w:szCs w:val="20"/>
              </w:rPr>
            </w:pPr>
            <w:r w:rsidRPr="00F011F8">
              <w:rPr>
                <w:szCs w:val="20"/>
                <w:lang w:val="en-US"/>
              </w:rPr>
              <w:t>1. General</w:t>
            </w:r>
          </w:p>
        </w:tc>
      </w:tr>
      <w:tr w:rsidR="00CC0DF0" w:rsidRPr="00F011F8" w14:paraId="411514A2" w14:textId="77777777" w:rsidTr="00FA4990">
        <w:trPr>
          <w:trHeight w:val="20"/>
        </w:trPr>
        <w:tc>
          <w:tcPr>
            <w:tcW w:w="2455" w:type="pct"/>
            <w:gridSpan w:val="4"/>
          </w:tcPr>
          <w:p w14:paraId="78A2CE39" w14:textId="77777777" w:rsidR="00667044" w:rsidRPr="00F011F8" w:rsidRDefault="00F011F8" w:rsidP="00FA4990">
            <w:pPr>
              <w:pStyle w:val="TableParagraph"/>
              <w:tabs>
                <w:tab w:val="left" w:pos="1730"/>
                <w:tab w:val="left" w:pos="3303"/>
              </w:tabs>
              <w:ind w:left="0"/>
              <w:rPr>
                <w:szCs w:val="20"/>
                <w:lang w:val="en-US"/>
              </w:rPr>
            </w:pPr>
            <w:r w:rsidRPr="00F011F8">
              <w:rPr>
                <w:szCs w:val="20"/>
                <w:lang w:val="en-US"/>
              </w:rPr>
              <w:t>1.1. Full corporate name of the Issuer:</w:t>
            </w:r>
          </w:p>
        </w:tc>
        <w:tc>
          <w:tcPr>
            <w:tcW w:w="2545" w:type="pct"/>
            <w:gridSpan w:val="3"/>
          </w:tcPr>
          <w:p w14:paraId="18CE6568" w14:textId="77777777" w:rsidR="00667044" w:rsidRPr="00F011F8" w:rsidRDefault="00F011F8" w:rsidP="00FA4990">
            <w:pPr>
              <w:pStyle w:val="TableParagraph"/>
              <w:tabs>
                <w:tab w:val="left" w:pos="1912"/>
                <w:tab w:val="left" w:pos="3912"/>
              </w:tabs>
              <w:ind w:left="0"/>
              <w:rPr>
                <w:b/>
                <w:szCs w:val="20"/>
                <w:lang w:val="en-US"/>
              </w:rPr>
            </w:pPr>
            <w:r w:rsidRPr="00F011F8">
              <w:rPr>
                <w:b/>
                <w:szCs w:val="20"/>
                <w:lang w:val="en-US"/>
              </w:rPr>
              <w:t xml:space="preserve">Public Joint Stock Company "Interregional </w:t>
            </w:r>
            <w:r w:rsidRPr="00F011F8">
              <w:rPr>
                <w:b/>
                <w:szCs w:val="20"/>
                <w:lang w:val="en-US"/>
              </w:rPr>
              <w:t>Distribution Grid Company of the South”</w:t>
            </w:r>
          </w:p>
        </w:tc>
      </w:tr>
      <w:tr w:rsidR="00CC0DF0" w:rsidRPr="00F011F8" w14:paraId="646DF643" w14:textId="77777777" w:rsidTr="00FA4990">
        <w:trPr>
          <w:trHeight w:val="20"/>
        </w:trPr>
        <w:tc>
          <w:tcPr>
            <w:tcW w:w="2455" w:type="pct"/>
            <w:gridSpan w:val="4"/>
          </w:tcPr>
          <w:p w14:paraId="60C55A20" w14:textId="77777777" w:rsidR="00667044" w:rsidRPr="00F011F8" w:rsidRDefault="00F011F8" w:rsidP="00FA4990">
            <w:pPr>
              <w:pStyle w:val="TableParagraph"/>
              <w:ind w:left="0"/>
              <w:rPr>
                <w:szCs w:val="20"/>
                <w:lang w:val="en-US"/>
              </w:rPr>
            </w:pPr>
            <w:r w:rsidRPr="00F011F8">
              <w:rPr>
                <w:szCs w:val="20"/>
                <w:lang w:val="en-US"/>
              </w:rPr>
              <w:t>1.2. Abbreviated corporate name of the Issuer:</w:t>
            </w:r>
          </w:p>
        </w:tc>
        <w:tc>
          <w:tcPr>
            <w:tcW w:w="2545" w:type="pct"/>
            <w:gridSpan w:val="3"/>
          </w:tcPr>
          <w:p w14:paraId="0E1F5E36" w14:textId="77777777" w:rsidR="00667044" w:rsidRPr="00F011F8" w:rsidRDefault="00F011F8" w:rsidP="00FA4990">
            <w:pPr>
              <w:pStyle w:val="TableParagraph"/>
              <w:ind w:left="0"/>
              <w:rPr>
                <w:b/>
                <w:szCs w:val="20"/>
                <w:lang w:val="en-US"/>
              </w:rPr>
            </w:pPr>
            <w:r w:rsidRPr="00F011F8">
              <w:rPr>
                <w:b/>
                <w:szCs w:val="20"/>
                <w:lang w:val="en-US"/>
              </w:rPr>
              <w:t>IDGC of the South, PJSC</w:t>
            </w:r>
          </w:p>
        </w:tc>
      </w:tr>
      <w:tr w:rsidR="00CC0DF0" w:rsidRPr="00F011F8" w14:paraId="6B074F0F" w14:textId="77777777" w:rsidTr="00FA4990">
        <w:trPr>
          <w:trHeight w:val="20"/>
        </w:trPr>
        <w:tc>
          <w:tcPr>
            <w:tcW w:w="2455" w:type="pct"/>
            <w:gridSpan w:val="4"/>
          </w:tcPr>
          <w:p w14:paraId="698D4E77" w14:textId="77777777" w:rsidR="00667044" w:rsidRPr="00F011F8" w:rsidRDefault="00F011F8" w:rsidP="00FA4990">
            <w:pPr>
              <w:pStyle w:val="TableParagraph"/>
              <w:ind w:left="0"/>
              <w:rPr>
                <w:szCs w:val="20"/>
              </w:rPr>
            </w:pPr>
            <w:r w:rsidRPr="00F011F8">
              <w:rPr>
                <w:szCs w:val="20"/>
                <w:lang w:val="en-US"/>
              </w:rPr>
              <w:t>1.3. Location of the Issuer:</w:t>
            </w:r>
          </w:p>
        </w:tc>
        <w:tc>
          <w:tcPr>
            <w:tcW w:w="2545" w:type="pct"/>
            <w:gridSpan w:val="3"/>
          </w:tcPr>
          <w:p w14:paraId="6D081B2C" w14:textId="77777777" w:rsidR="00667044" w:rsidRPr="00F011F8" w:rsidRDefault="00F011F8" w:rsidP="00FA4990">
            <w:pPr>
              <w:pStyle w:val="TableParagraph"/>
              <w:ind w:left="0"/>
              <w:rPr>
                <w:b/>
                <w:szCs w:val="20"/>
                <w:lang w:val="en-US"/>
              </w:rPr>
            </w:pPr>
            <w:r w:rsidRPr="00F011F8">
              <w:rPr>
                <w:b/>
                <w:szCs w:val="20"/>
                <w:lang w:val="en-US"/>
              </w:rPr>
              <w:t>Rostov-on-Don, Russian Federation</w:t>
            </w:r>
          </w:p>
        </w:tc>
      </w:tr>
      <w:tr w:rsidR="00CC0DF0" w:rsidRPr="00F011F8" w14:paraId="4ACC2802" w14:textId="77777777" w:rsidTr="00FA4990">
        <w:trPr>
          <w:trHeight w:val="20"/>
        </w:trPr>
        <w:tc>
          <w:tcPr>
            <w:tcW w:w="2455" w:type="pct"/>
            <w:gridSpan w:val="4"/>
          </w:tcPr>
          <w:p w14:paraId="1270D7D5" w14:textId="77777777" w:rsidR="00667044" w:rsidRPr="00F011F8" w:rsidRDefault="00F011F8" w:rsidP="00FA4990">
            <w:pPr>
              <w:pStyle w:val="TableParagraph"/>
              <w:ind w:left="0"/>
              <w:rPr>
                <w:szCs w:val="20"/>
              </w:rPr>
            </w:pPr>
            <w:r w:rsidRPr="00F011F8">
              <w:rPr>
                <w:szCs w:val="20"/>
                <w:lang w:val="en-US"/>
              </w:rPr>
              <w:t>1.4. OGRN of the Issuer:</w:t>
            </w:r>
          </w:p>
        </w:tc>
        <w:tc>
          <w:tcPr>
            <w:tcW w:w="2545" w:type="pct"/>
            <w:gridSpan w:val="3"/>
          </w:tcPr>
          <w:p w14:paraId="0E14B0B7" w14:textId="77777777" w:rsidR="00667044" w:rsidRPr="00F011F8" w:rsidRDefault="00F011F8" w:rsidP="00FA4990">
            <w:pPr>
              <w:pStyle w:val="TableParagraph"/>
              <w:ind w:left="0"/>
              <w:rPr>
                <w:b/>
                <w:szCs w:val="20"/>
              </w:rPr>
            </w:pPr>
            <w:r w:rsidRPr="00F011F8">
              <w:rPr>
                <w:b/>
                <w:szCs w:val="20"/>
                <w:lang w:val="en-US"/>
              </w:rPr>
              <w:t>1076164009096</w:t>
            </w:r>
          </w:p>
        </w:tc>
      </w:tr>
      <w:tr w:rsidR="00CC0DF0" w:rsidRPr="00F011F8" w14:paraId="7E408478" w14:textId="77777777" w:rsidTr="00FA4990">
        <w:trPr>
          <w:trHeight w:val="20"/>
        </w:trPr>
        <w:tc>
          <w:tcPr>
            <w:tcW w:w="2455" w:type="pct"/>
            <w:gridSpan w:val="4"/>
          </w:tcPr>
          <w:p w14:paraId="1527B22A" w14:textId="77777777" w:rsidR="00667044" w:rsidRPr="00F011F8" w:rsidRDefault="00F011F8" w:rsidP="00FA4990">
            <w:pPr>
              <w:pStyle w:val="TableParagraph"/>
              <w:ind w:left="0"/>
              <w:rPr>
                <w:szCs w:val="20"/>
              </w:rPr>
            </w:pPr>
            <w:r w:rsidRPr="00F011F8">
              <w:rPr>
                <w:szCs w:val="20"/>
                <w:lang w:val="en-US"/>
              </w:rPr>
              <w:t>1.5. TIN of the Issuer:</w:t>
            </w:r>
          </w:p>
        </w:tc>
        <w:tc>
          <w:tcPr>
            <w:tcW w:w="2545" w:type="pct"/>
            <w:gridSpan w:val="3"/>
          </w:tcPr>
          <w:p w14:paraId="2EEABC24" w14:textId="77777777" w:rsidR="00667044" w:rsidRPr="00F011F8" w:rsidRDefault="00F011F8" w:rsidP="00FA4990">
            <w:pPr>
              <w:pStyle w:val="TableParagraph"/>
              <w:ind w:left="0"/>
              <w:rPr>
                <w:b/>
                <w:szCs w:val="20"/>
              </w:rPr>
            </w:pPr>
            <w:r w:rsidRPr="00F011F8">
              <w:rPr>
                <w:b/>
                <w:szCs w:val="20"/>
                <w:lang w:val="en-US"/>
              </w:rPr>
              <w:t>6164266561</w:t>
            </w:r>
          </w:p>
        </w:tc>
      </w:tr>
      <w:tr w:rsidR="00CC0DF0" w:rsidRPr="00F011F8" w14:paraId="220598C1" w14:textId="77777777" w:rsidTr="00FA4990">
        <w:trPr>
          <w:trHeight w:val="20"/>
        </w:trPr>
        <w:tc>
          <w:tcPr>
            <w:tcW w:w="2455" w:type="pct"/>
            <w:gridSpan w:val="4"/>
          </w:tcPr>
          <w:p w14:paraId="0C26F62B" w14:textId="77777777" w:rsidR="00667044" w:rsidRPr="00F011F8" w:rsidRDefault="00F011F8" w:rsidP="00FA4990">
            <w:pPr>
              <w:pStyle w:val="TableParagraph"/>
              <w:ind w:left="0"/>
              <w:rPr>
                <w:szCs w:val="20"/>
                <w:lang w:val="en-US"/>
              </w:rPr>
            </w:pPr>
            <w:r w:rsidRPr="00F011F8">
              <w:rPr>
                <w:szCs w:val="20"/>
                <w:lang w:val="en-US"/>
              </w:rPr>
              <w:t>1.6. Unique code of the Issuer, assigned by the registering authority:</w:t>
            </w:r>
          </w:p>
        </w:tc>
        <w:tc>
          <w:tcPr>
            <w:tcW w:w="2545" w:type="pct"/>
            <w:gridSpan w:val="3"/>
          </w:tcPr>
          <w:p w14:paraId="4DBE8BCA" w14:textId="77777777" w:rsidR="00667044" w:rsidRPr="00F011F8" w:rsidRDefault="00F011F8" w:rsidP="00FA4990">
            <w:pPr>
              <w:pStyle w:val="TableParagraph"/>
              <w:ind w:left="0"/>
              <w:rPr>
                <w:b/>
                <w:szCs w:val="20"/>
              </w:rPr>
            </w:pPr>
            <w:r w:rsidRPr="00F011F8">
              <w:rPr>
                <w:b/>
                <w:szCs w:val="20"/>
                <w:lang w:val="en-US"/>
              </w:rPr>
              <w:t>34956-Е</w:t>
            </w:r>
          </w:p>
        </w:tc>
      </w:tr>
      <w:tr w:rsidR="00CC0DF0" w:rsidRPr="00F011F8" w14:paraId="0156004D" w14:textId="77777777" w:rsidTr="00FA4990">
        <w:trPr>
          <w:trHeight w:val="20"/>
        </w:trPr>
        <w:tc>
          <w:tcPr>
            <w:tcW w:w="2455" w:type="pct"/>
            <w:gridSpan w:val="4"/>
          </w:tcPr>
          <w:p w14:paraId="4BC1EBD2" w14:textId="77777777" w:rsidR="00667044" w:rsidRPr="00F011F8" w:rsidRDefault="00F011F8" w:rsidP="00FA4990">
            <w:pPr>
              <w:pStyle w:val="TableParagraph"/>
              <w:tabs>
                <w:tab w:val="left" w:pos="1535"/>
                <w:tab w:val="left" w:pos="2626"/>
                <w:tab w:val="left" w:pos="3007"/>
                <w:tab w:val="left" w:pos="3722"/>
              </w:tabs>
              <w:ind w:left="0"/>
              <w:rPr>
                <w:szCs w:val="20"/>
                <w:lang w:val="en-US"/>
              </w:rPr>
            </w:pPr>
            <w:r w:rsidRPr="00F011F8">
              <w:rPr>
                <w:szCs w:val="20"/>
                <w:lang w:val="en-US"/>
              </w:rPr>
              <w:t>1.7. The addresses of the Internet pages used by the Issuer for information disclosures:</w:t>
            </w:r>
          </w:p>
        </w:tc>
        <w:tc>
          <w:tcPr>
            <w:tcW w:w="2545" w:type="pct"/>
            <w:gridSpan w:val="3"/>
          </w:tcPr>
          <w:p w14:paraId="6980AA9B" w14:textId="77777777" w:rsidR="00FA4990" w:rsidRPr="00F011F8" w:rsidRDefault="00F011F8" w:rsidP="00FA4990">
            <w:pPr>
              <w:pStyle w:val="TableParagraph"/>
              <w:ind w:left="0"/>
              <w:rPr>
                <w:b/>
                <w:szCs w:val="20"/>
                <w:lang w:val="en-US"/>
              </w:rPr>
            </w:pPr>
            <w:hyperlink r:id="rId5" w:history="1">
              <w:r w:rsidRPr="00F011F8">
                <w:rPr>
                  <w:b/>
                  <w:szCs w:val="20"/>
                  <w:u w:val="thick"/>
                  <w:lang w:val="en-US"/>
                </w:rPr>
                <w:t>http://www.mrsk-yuga.ru</w:t>
              </w:r>
            </w:hyperlink>
            <w:r w:rsidRPr="00F011F8">
              <w:rPr>
                <w:b/>
                <w:szCs w:val="20"/>
                <w:lang w:val="en-US"/>
              </w:rPr>
              <w:t xml:space="preserve"> </w:t>
            </w:r>
          </w:p>
          <w:p w14:paraId="081DFBEA" w14:textId="77777777" w:rsidR="00667044" w:rsidRPr="00F011F8" w:rsidRDefault="00F011F8" w:rsidP="00FA4990">
            <w:pPr>
              <w:pStyle w:val="TableParagraph"/>
              <w:ind w:left="0"/>
              <w:rPr>
                <w:b/>
                <w:szCs w:val="20"/>
                <w:lang w:val="en-US"/>
              </w:rPr>
            </w:pPr>
            <w:hyperlink r:id="rId6" w:history="1">
              <w:r w:rsidRPr="00F011F8">
                <w:rPr>
                  <w:b/>
                  <w:szCs w:val="20"/>
                  <w:u w:val="thick"/>
                  <w:lang w:val="en-US"/>
                </w:rPr>
                <w:t>http://www.e-</w:t>
              </w:r>
            </w:hyperlink>
            <w:hyperlink r:id="rId7" w:history="1">
              <w:r w:rsidRPr="00F011F8">
                <w:rPr>
                  <w:b/>
                  <w:szCs w:val="20"/>
                  <w:u w:val="thick"/>
                  <w:lang w:val="en-US"/>
                </w:rPr>
                <w:t>disclosure.ru/portal/company.aspx?id</w:t>
              </w:r>
              <w:r w:rsidRPr="00F011F8">
                <w:rPr>
                  <w:b/>
                  <w:szCs w:val="20"/>
                  <w:u w:val="thick"/>
                  <w:lang w:val="en-US"/>
                </w:rPr>
                <w:t>=11999</w:t>
              </w:r>
            </w:hyperlink>
          </w:p>
        </w:tc>
      </w:tr>
      <w:tr w:rsidR="00CC0DF0" w:rsidRPr="00F011F8" w14:paraId="36417B29" w14:textId="77777777" w:rsidTr="00FA4990">
        <w:trPr>
          <w:trHeight w:val="20"/>
        </w:trPr>
        <w:tc>
          <w:tcPr>
            <w:tcW w:w="2455" w:type="pct"/>
            <w:gridSpan w:val="4"/>
          </w:tcPr>
          <w:p w14:paraId="5B56379A" w14:textId="77777777" w:rsidR="00667044" w:rsidRPr="00F011F8" w:rsidRDefault="00F011F8" w:rsidP="00FA4990">
            <w:pPr>
              <w:pStyle w:val="TableParagraph"/>
              <w:tabs>
                <w:tab w:val="left" w:pos="1026"/>
                <w:tab w:val="left" w:pos="2060"/>
                <w:tab w:val="left" w:pos="3904"/>
              </w:tabs>
              <w:ind w:left="0"/>
              <w:rPr>
                <w:szCs w:val="20"/>
                <w:lang w:val="en-US"/>
              </w:rPr>
            </w:pPr>
            <w:r w:rsidRPr="00F011F8">
              <w:rPr>
                <w:szCs w:val="20"/>
                <w:lang w:val="en-US"/>
              </w:rPr>
              <w:t>1.8. Event effective date (material fact) of which the message is composed (if applicable):</w:t>
            </w:r>
          </w:p>
        </w:tc>
        <w:tc>
          <w:tcPr>
            <w:tcW w:w="2545" w:type="pct"/>
            <w:gridSpan w:val="3"/>
          </w:tcPr>
          <w:p w14:paraId="15A0008A" w14:textId="77777777" w:rsidR="00667044" w:rsidRPr="00F011F8" w:rsidRDefault="00F011F8" w:rsidP="00FA4990">
            <w:pPr>
              <w:pStyle w:val="TableParagraph"/>
              <w:ind w:left="0"/>
              <w:rPr>
                <w:b/>
                <w:szCs w:val="20"/>
              </w:rPr>
            </w:pPr>
            <w:r w:rsidRPr="00F011F8">
              <w:rPr>
                <w:b/>
                <w:szCs w:val="20"/>
                <w:lang w:val="en-US"/>
              </w:rPr>
              <w:t>November 15, 2019.</w:t>
            </w:r>
          </w:p>
        </w:tc>
      </w:tr>
      <w:tr w:rsidR="00CC0DF0" w:rsidRPr="00F011F8" w14:paraId="21F0D8CB" w14:textId="77777777" w:rsidTr="00FA4990">
        <w:trPr>
          <w:trHeight w:val="20"/>
        </w:trPr>
        <w:tc>
          <w:tcPr>
            <w:tcW w:w="5000" w:type="pct"/>
            <w:gridSpan w:val="7"/>
          </w:tcPr>
          <w:p w14:paraId="091EA33F" w14:textId="77777777" w:rsidR="00667044" w:rsidRPr="00F011F8" w:rsidRDefault="00F011F8" w:rsidP="00FA4990">
            <w:pPr>
              <w:pStyle w:val="TableParagraph"/>
              <w:ind w:left="0"/>
              <w:jc w:val="center"/>
              <w:rPr>
                <w:szCs w:val="20"/>
                <w:lang w:val="en-US"/>
              </w:rPr>
            </w:pPr>
            <w:r w:rsidRPr="00F011F8">
              <w:rPr>
                <w:szCs w:val="20"/>
                <w:lang w:val="en-US"/>
              </w:rPr>
              <w:t>2. Notice content</w:t>
            </w:r>
          </w:p>
          <w:p w14:paraId="77696912" w14:textId="77777777" w:rsidR="00667044" w:rsidRPr="00F011F8" w:rsidRDefault="00F011F8" w:rsidP="00FA4990">
            <w:pPr>
              <w:pStyle w:val="TableParagraph"/>
              <w:ind w:left="0"/>
              <w:jc w:val="center"/>
              <w:rPr>
                <w:b/>
                <w:szCs w:val="20"/>
                <w:lang w:val="en-US"/>
              </w:rPr>
            </w:pPr>
            <w:r w:rsidRPr="00F011F8">
              <w:rPr>
                <w:b/>
                <w:szCs w:val="20"/>
                <w:lang w:val="en-US"/>
              </w:rPr>
              <w:t>"On holding the meeting of the Board of Directors of IDGC of the South, PJSC and its agenda"</w:t>
            </w:r>
          </w:p>
        </w:tc>
      </w:tr>
      <w:tr w:rsidR="00CC0DF0" w:rsidRPr="00F011F8" w14:paraId="04E6999E" w14:textId="77777777" w:rsidTr="00900861">
        <w:trPr>
          <w:trHeight w:val="20"/>
        </w:trPr>
        <w:tc>
          <w:tcPr>
            <w:tcW w:w="5000" w:type="pct"/>
            <w:gridSpan w:val="7"/>
            <w:tcBorders>
              <w:bottom w:val="single" w:sz="4" w:space="0" w:color="000000"/>
            </w:tcBorders>
          </w:tcPr>
          <w:p w14:paraId="2FB9A3F6" w14:textId="77777777" w:rsidR="00667044" w:rsidRPr="00F011F8" w:rsidRDefault="00F011F8" w:rsidP="00FA4990">
            <w:pPr>
              <w:pStyle w:val="TableParagraph"/>
              <w:numPr>
                <w:ilvl w:val="1"/>
                <w:numId w:val="1"/>
              </w:numPr>
              <w:tabs>
                <w:tab w:val="left" w:pos="665"/>
              </w:tabs>
              <w:ind w:left="0" w:firstLine="0"/>
              <w:rPr>
                <w:b/>
                <w:i/>
                <w:lang w:val="en-US"/>
              </w:rPr>
            </w:pPr>
            <w:r w:rsidRPr="00F011F8">
              <w:rPr>
                <w:lang w:val="en-US"/>
              </w:rPr>
              <w:t xml:space="preserve">Date of the Issuer's Board of Directors Chairman's decision to hold a meeting of the Issuer's Board of Directors: </w:t>
            </w:r>
            <w:r w:rsidRPr="00F011F8">
              <w:rPr>
                <w:b/>
                <w:i/>
                <w:lang w:val="en-US"/>
              </w:rPr>
              <w:t>November 15, 2019.</w:t>
            </w:r>
          </w:p>
          <w:p w14:paraId="7FD3E164" w14:textId="77777777" w:rsidR="00667044" w:rsidRPr="00F011F8" w:rsidRDefault="00F011F8" w:rsidP="00FA4990">
            <w:pPr>
              <w:pStyle w:val="TableParagraph"/>
              <w:ind w:left="0"/>
              <w:rPr>
                <w:b/>
                <w:lang w:val="en-US"/>
              </w:rPr>
            </w:pPr>
          </w:p>
          <w:p w14:paraId="7E7AAF09" w14:textId="77777777" w:rsidR="00667044" w:rsidRPr="00F011F8" w:rsidRDefault="00F011F8" w:rsidP="00FA4990">
            <w:pPr>
              <w:pStyle w:val="TableParagraph"/>
              <w:numPr>
                <w:ilvl w:val="1"/>
                <w:numId w:val="1"/>
              </w:numPr>
              <w:tabs>
                <w:tab w:val="left" w:pos="591"/>
              </w:tabs>
              <w:ind w:left="0" w:firstLine="0"/>
              <w:rPr>
                <w:b/>
                <w:i/>
                <w:lang w:val="en-US"/>
              </w:rPr>
            </w:pPr>
            <w:r w:rsidRPr="00F011F8">
              <w:rPr>
                <w:lang w:val="en-US"/>
              </w:rPr>
              <w:t>Date of the meeting of the Issuer's Board of Directors</w:t>
            </w:r>
            <w:r w:rsidRPr="00F011F8">
              <w:rPr>
                <w:i/>
                <w:lang w:val="en-US"/>
              </w:rPr>
              <w:t xml:space="preserve">: </w:t>
            </w:r>
            <w:r w:rsidRPr="00F011F8">
              <w:rPr>
                <w:b/>
                <w:i/>
                <w:lang w:val="en-US"/>
              </w:rPr>
              <w:t>December 4, 2019.</w:t>
            </w:r>
          </w:p>
          <w:p w14:paraId="4399FA42" w14:textId="77777777" w:rsidR="00667044" w:rsidRPr="00F011F8" w:rsidRDefault="00F011F8" w:rsidP="00FA4990">
            <w:pPr>
              <w:pStyle w:val="TableParagraph"/>
              <w:ind w:left="0"/>
              <w:rPr>
                <w:b/>
                <w:lang w:val="en-US"/>
              </w:rPr>
            </w:pPr>
          </w:p>
          <w:p w14:paraId="052297E9" w14:textId="77777777" w:rsidR="00667044" w:rsidRPr="00F011F8" w:rsidRDefault="00F011F8" w:rsidP="00FA4990">
            <w:pPr>
              <w:pStyle w:val="TableParagraph"/>
              <w:numPr>
                <w:ilvl w:val="1"/>
                <w:numId w:val="1"/>
              </w:numPr>
              <w:tabs>
                <w:tab w:val="left" w:pos="591"/>
              </w:tabs>
              <w:ind w:left="0" w:firstLine="0"/>
              <w:rPr>
                <w:szCs w:val="20"/>
                <w:lang w:val="en-US"/>
              </w:rPr>
            </w:pPr>
            <w:r w:rsidRPr="00F011F8">
              <w:rPr>
                <w:szCs w:val="20"/>
                <w:lang w:val="en-US"/>
              </w:rPr>
              <w:t xml:space="preserve">Agenda of the meeting of the Issuer's Board of </w:t>
            </w:r>
            <w:r w:rsidRPr="00F011F8">
              <w:rPr>
                <w:szCs w:val="20"/>
                <w:lang w:val="en-US"/>
              </w:rPr>
              <w:t>Directors:</w:t>
            </w:r>
          </w:p>
          <w:p w14:paraId="1B2A88A2" w14:textId="77777777" w:rsidR="00667044" w:rsidRPr="00F011F8" w:rsidRDefault="00F011F8" w:rsidP="00FA4990">
            <w:pPr>
              <w:pStyle w:val="TableParagraph"/>
              <w:numPr>
                <w:ilvl w:val="2"/>
                <w:numId w:val="1"/>
              </w:numPr>
              <w:tabs>
                <w:tab w:val="left" w:pos="599"/>
              </w:tabs>
              <w:ind w:left="599" w:hanging="425"/>
              <w:jc w:val="both"/>
              <w:rPr>
                <w:b/>
                <w:i/>
                <w:szCs w:val="20"/>
                <w:lang w:val="en-US"/>
              </w:rPr>
            </w:pPr>
            <w:r w:rsidRPr="00F011F8">
              <w:rPr>
                <w:b/>
                <w:i/>
                <w:szCs w:val="20"/>
                <w:lang w:val="en-US"/>
              </w:rPr>
              <w:t>On review of the report on execution of the business plans of IDGC of the South Group of Companies consolidated on the principles of RAS and IFRS for the 1st half of 2019.</w:t>
            </w:r>
          </w:p>
          <w:p w14:paraId="49C8712A" w14:textId="77777777" w:rsidR="00667044" w:rsidRPr="00F011F8" w:rsidRDefault="00F011F8" w:rsidP="00FA4990">
            <w:pPr>
              <w:pStyle w:val="TableParagraph"/>
              <w:numPr>
                <w:ilvl w:val="2"/>
                <w:numId w:val="1"/>
              </w:numPr>
              <w:tabs>
                <w:tab w:val="left" w:pos="599"/>
              </w:tabs>
              <w:ind w:left="599" w:hanging="425"/>
              <w:jc w:val="both"/>
              <w:rPr>
                <w:b/>
                <w:i/>
                <w:szCs w:val="20"/>
                <w:lang w:val="en-US"/>
              </w:rPr>
            </w:pPr>
            <w:r w:rsidRPr="00F011F8">
              <w:rPr>
                <w:b/>
                <w:i/>
                <w:szCs w:val="20"/>
                <w:lang w:val="en-US"/>
              </w:rPr>
              <w:t>Progress in implementing the Company's investment projects included in th</w:t>
            </w:r>
            <w:r w:rsidRPr="00F011F8">
              <w:rPr>
                <w:b/>
                <w:i/>
                <w:szCs w:val="20"/>
                <w:lang w:val="en-US"/>
              </w:rPr>
              <w:t>e list of priority objects for Q3 2019.</w:t>
            </w:r>
          </w:p>
          <w:p w14:paraId="29AA2895" w14:textId="77777777" w:rsidR="00667044" w:rsidRPr="00F011F8" w:rsidRDefault="00F011F8" w:rsidP="00FA4990">
            <w:pPr>
              <w:pStyle w:val="TableParagraph"/>
              <w:numPr>
                <w:ilvl w:val="2"/>
                <w:numId w:val="1"/>
              </w:numPr>
              <w:tabs>
                <w:tab w:val="left" w:pos="599"/>
              </w:tabs>
              <w:ind w:left="599" w:hanging="425"/>
              <w:jc w:val="both"/>
              <w:rPr>
                <w:b/>
                <w:i/>
                <w:szCs w:val="20"/>
                <w:lang w:val="en-US"/>
              </w:rPr>
            </w:pPr>
            <w:r w:rsidRPr="00F011F8">
              <w:rPr>
                <w:b/>
                <w:i/>
                <w:szCs w:val="20"/>
                <w:lang w:val="en-US"/>
              </w:rPr>
              <w:t>On approval of the list of the Company's investment projects subject to technological price audit in 2020.</w:t>
            </w:r>
          </w:p>
          <w:p w14:paraId="7FE3AB2D" w14:textId="77777777" w:rsidR="00667044" w:rsidRPr="00F011F8" w:rsidRDefault="00F011F8" w:rsidP="00FA4990">
            <w:pPr>
              <w:pStyle w:val="TableParagraph"/>
              <w:numPr>
                <w:ilvl w:val="2"/>
                <w:numId w:val="1"/>
              </w:numPr>
              <w:tabs>
                <w:tab w:val="left" w:pos="599"/>
              </w:tabs>
              <w:ind w:left="599" w:hanging="425"/>
              <w:jc w:val="both"/>
              <w:rPr>
                <w:b/>
                <w:i/>
                <w:szCs w:val="20"/>
                <w:lang w:val="en-US"/>
              </w:rPr>
            </w:pPr>
            <w:r w:rsidRPr="00F011F8">
              <w:rPr>
                <w:b/>
                <w:i/>
                <w:szCs w:val="20"/>
                <w:lang w:val="en-US"/>
              </w:rPr>
              <w:t xml:space="preserve">On payment of a one-time bonus for performance of a particularly important task to top managers of IDGC of </w:t>
            </w:r>
            <w:r w:rsidRPr="00F011F8">
              <w:rPr>
                <w:b/>
                <w:i/>
                <w:szCs w:val="20"/>
                <w:lang w:val="en-US"/>
              </w:rPr>
              <w:t>the South, PJSC.</w:t>
            </w:r>
          </w:p>
          <w:p w14:paraId="5C2ACF63" w14:textId="77777777" w:rsidR="00667044" w:rsidRPr="00F011F8" w:rsidRDefault="00F011F8" w:rsidP="00FA4990">
            <w:pPr>
              <w:pStyle w:val="TableParagraph"/>
              <w:numPr>
                <w:ilvl w:val="2"/>
                <w:numId w:val="1"/>
              </w:numPr>
              <w:tabs>
                <w:tab w:val="left" w:pos="599"/>
              </w:tabs>
              <w:ind w:left="599" w:hanging="425"/>
              <w:rPr>
                <w:b/>
                <w:i/>
                <w:szCs w:val="20"/>
                <w:lang w:val="en-US"/>
              </w:rPr>
            </w:pPr>
            <w:r w:rsidRPr="00F011F8">
              <w:rPr>
                <w:b/>
                <w:i/>
                <w:szCs w:val="20"/>
                <w:lang w:val="en-US"/>
              </w:rPr>
              <w:t>On providing insurance coverage of the Company in Q3 2019.</w:t>
            </w:r>
          </w:p>
          <w:p w14:paraId="7162F47C" w14:textId="77777777" w:rsidR="00667044" w:rsidRPr="00F011F8" w:rsidRDefault="00F011F8" w:rsidP="00FA4990">
            <w:pPr>
              <w:pStyle w:val="TableParagraph"/>
              <w:numPr>
                <w:ilvl w:val="2"/>
                <w:numId w:val="1"/>
              </w:numPr>
              <w:tabs>
                <w:tab w:val="left" w:pos="599"/>
              </w:tabs>
              <w:ind w:left="599" w:hanging="425"/>
              <w:jc w:val="both"/>
              <w:rPr>
                <w:b/>
                <w:i/>
                <w:szCs w:val="20"/>
                <w:lang w:val="en-US"/>
              </w:rPr>
            </w:pPr>
            <w:r w:rsidRPr="00F011F8">
              <w:rPr>
                <w:b/>
                <w:i/>
                <w:szCs w:val="20"/>
                <w:lang w:val="en-US"/>
              </w:rPr>
              <w:t xml:space="preserve">On implementation of paragraph 3.1 of the decision of the Company's Board of Directors on issue No. 2 (Minutes No. 310/2019 dated April 12, 2019) "On approval of the report on the </w:t>
            </w:r>
            <w:r w:rsidRPr="00F011F8">
              <w:rPr>
                <w:b/>
                <w:i/>
                <w:szCs w:val="20"/>
                <w:lang w:val="en-US"/>
              </w:rPr>
              <w:t>results of the Company's investment program for 2018".</w:t>
            </w:r>
          </w:p>
          <w:p w14:paraId="7C4A2BFC" w14:textId="77777777" w:rsidR="00667044" w:rsidRPr="00F011F8" w:rsidRDefault="00F011F8" w:rsidP="00FA4990">
            <w:pPr>
              <w:pStyle w:val="TableParagraph"/>
              <w:numPr>
                <w:ilvl w:val="2"/>
                <w:numId w:val="1"/>
              </w:numPr>
              <w:tabs>
                <w:tab w:val="left" w:pos="599"/>
              </w:tabs>
              <w:ind w:left="599" w:hanging="425"/>
              <w:jc w:val="both"/>
              <w:rPr>
                <w:b/>
                <w:i/>
                <w:szCs w:val="20"/>
                <w:lang w:val="en-US"/>
              </w:rPr>
            </w:pPr>
            <w:r w:rsidRPr="00F011F8">
              <w:rPr>
                <w:b/>
                <w:i/>
                <w:szCs w:val="20"/>
                <w:lang w:val="en-US"/>
              </w:rPr>
              <w:t>On the progress of the Company's Register of non-core assets execution as of September 30, 2019.</w:t>
            </w:r>
          </w:p>
          <w:p w14:paraId="448654F6" w14:textId="77777777" w:rsidR="00667044" w:rsidRPr="00F011F8" w:rsidRDefault="00F011F8" w:rsidP="00FA4990">
            <w:pPr>
              <w:pStyle w:val="TableParagraph"/>
              <w:numPr>
                <w:ilvl w:val="2"/>
                <w:numId w:val="1"/>
              </w:numPr>
              <w:tabs>
                <w:tab w:val="left" w:pos="599"/>
              </w:tabs>
              <w:ind w:left="599" w:hanging="425"/>
              <w:jc w:val="both"/>
              <w:rPr>
                <w:b/>
                <w:i/>
                <w:szCs w:val="20"/>
                <w:lang w:val="en-US"/>
              </w:rPr>
            </w:pPr>
            <w:r w:rsidRPr="00F011F8">
              <w:rPr>
                <w:b/>
                <w:i/>
                <w:szCs w:val="20"/>
                <w:lang w:val="en-US"/>
              </w:rPr>
              <w:t>On approval of the Register of non-core assets of IDGC of the South, PJSC as of September 30, 2019.</w:t>
            </w:r>
          </w:p>
          <w:p w14:paraId="7076494A" w14:textId="77777777" w:rsidR="00667044" w:rsidRPr="00F011F8" w:rsidRDefault="00F011F8" w:rsidP="00FA4990">
            <w:pPr>
              <w:pStyle w:val="TableParagraph"/>
              <w:numPr>
                <w:ilvl w:val="2"/>
                <w:numId w:val="1"/>
              </w:numPr>
              <w:tabs>
                <w:tab w:val="left" w:pos="599"/>
              </w:tabs>
              <w:ind w:left="599" w:hanging="425"/>
              <w:jc w:val="both"/>
              <w:rPr>
                <w:b/>
                <w:i/>
                <w:szCs w:val="20"/>
                <w:lang w:val="en-US"/>
              </w:rPr>
            </w:pPr>
            <w:r w:rsidRPr="00F011F8">
              <w:rPr>
                <w:b/>
                <w:i/>
                <w:szCs w:val="20"/>
                <w:lang w:val="en-US"/>
              </w:rPr>
              <w:t>On d</w:t>
            </w:r>
            <w:r w:rsidRPr="00F011F8">
              <w:rPr>
                <w:b/>
                <w:i/>
                <w:szCs w:val="20"/>
                <w:lang w:val="en-US"/>
              </w:rPr>
              <w:t>etermining the Company's position on the agenda item of the meeting of the Board of Directors of JSC Recreation Center "Energetik": "On the election of the General Director of JSC Recreation Center "Energetik"."</w:t>
            </w:r>
          </w:p>
        </w:tc>
      </w:tr>
      <w:tr w:rsidR="00CC0DF0" w:rsidRPr="00F011F8" w14:paraId="1B7D7180" w14:textId="77777777" w:rsidTr="00900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14:paraId="1D9FEE16" w14:textId="77777777" w:rsidR="00FA4990" w:rsidRPr="00F011F8" w:rsidRDefault="00F011F8" w:rsidP="000A6561">
            <w:pPr>
              <w:pStyle w:val="TableParagraph"/>
              <w:ind w:left="0"/>
              <w:jc w:val="center"/>
              <w:rPr>
                <w:szCs w:val="20"/>
              </w:rPr>
            </w:pPr>
            <w:r w:rsidRPr="00F011F8">
              <w:rPr>
                <w:szCs w:val="20"/>
                <w:lang w:val="en-US"/>
              </w:rPr>
              <w:t>3. Signature</w:t>
            </w:r>
          </w:p>
        </w:tc>
      </w:tr>
      <w:tr w:rsidR="00CC0DF0" w:rsidRPr="00F011F8" w14:paraId="57B7E71C" w14:textId="77777777" w:rsidTr="009008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5"/>
            <w:vMerge w:val="restart"/>
            <w:tcBorders>
              <w:top w:val="single" w:sz="4" w:space="0" w:color="auto"/>
              <w:left w:val="single" w:sz="4" w:space="0" w:color="000000"/>
            </w:tcBorders>
          </w:tcPr>
          <w:p w14:paraId="3677F51F" w14:textId="77777777" w:rsidR="00FA4990" w:rsidRPr="00F011F8" w:rsidRDefault="00F011F8" w:rsidP="000A6561">
            <w:pPr>
              <w:pStyle w:val="TableParagraph"/>
              <w:ind w:left="0"/>
              <w:rPr>
                <w:sz w:val="20"/>
                <w:szCs w:val="20"/>
                <w:lang w:val="en-US"/>
              </w:rPr>
            </w:pPr>
            <w:r w:rsidRPr="00F011F8">
              <w:rPr>
                <w:szCs w:val="20"/>
                <w:lang w:val="en-US"/>
              </w:rPr>
              <w:t xml:space="preserve">3.1. Head of </w:t>
            </w:r>
            <w:r w:rsidRPr="00F011F8">
              <w:rPr>
                <w:szCs w:val="20"/>
                <w:lang w:val="en-US"/>
              </w:rPr>
              <w:t>Corporate Governance and Shareholder Relations Department (by proxy No. 86-19 dated January 1, 2019)</w:t>
            </w:r>
          </w:p>
        </w:tc>
        <w:tc>
          <w:tcPr>
            <w:tcW w:w="733" w:type="pct"/>
            <w:tcBorders>
              <w:top w:val="single" w:sz="4" w:space="0" w:color="auto"/>
              <w:bottom w:val="single" w:sz="4" w:space="0" w:color="auto"/>
            </w:tcBorders>
          </w:tcPr>
          <w:p w14:paraId="330373E3" w14:textId="77777777" w:rsidR="00FA4990" w:rsidRPr="00F011F8" w:rsidRDefault="00F011F8" w:rsidP="000A6561">
            <w:pPr>
              <w:pStyle w:val="TableParagraph"/>
              <w:tabs>
                <w:tab w:val="left" w:pos="5729"/>
                <w:tab w:val="left" w:pos="5854"/>
                <w:tab w:val="left" w:pos="7224"/>
                <w:tab w:val="left" w:pos="7774"/>
              </w:tabs>
              <w:ind w:left="0"/>
              <w:rPr>
                <w:sz w:val="20"/>
                <w:szCs w:val="20"/>
                <w:lang w:val="en-US"/>
              </w:rPr>
            </w:pPr>
          </w:p>
        </w:tc>
        <w:tc>
          <w:tcPr>
            <w:tcW w:w="1445" w:type="pct"/>
            <w:tcBorders>
              <w:top w:val="single" w:sz="4" w:space="0" w:color="auto"/>
              <w:right w:val="single" w:sz="4" w:space="0" w:color="000000"/>
            </w:tcBorders>
            <w:vAlign w:val="bottom"/>
          </w:tcPr>
          <w:p w14:paraId="2681AC33" w14:textId="77777777" w:rsidR="00FA4990" w:rsidRPr="00F011F8" w:rsidRDefault="00F011F8" w:rsidP="000A6561">
            <w:pPr>
              <w:pStyle w:val="TableParagraph"/>
              <w:tabs>
                <w:tab w:val="left" w:pos="5729"/>
                <w:tab w:val="left" w:pos="5854"/>
                <w:tab w:val="left" w:pos="7224"/>
                <w:tab w:val="left" w:pos="7774"/>
              </w:tabs>
              <w:ind w:left="0"/>
              <w:rPr>
                <w:sz w:val="20"/>
                <w:szCs w:val="20"/>
              </w:rPr>
            </w:pPr>
            <w:r w:rsidRPr="00F011F8">
              <w:rPr>
                <w:szCs w:val="20"/>
                <w:lang w:val="en-US"/>
              </w:rPr>
              <w:t>Pavlova E.N.</w:t>
            </w:r>
          </w:p>
        </w:tc>
      </w:tr>
      <w:tr w:rsidR="00CC0DF0" w:rsidRPr="00F011F8" w14:paraId="668B51AE" w14:textId="77777777" w:rsidTr="000A65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2822" w:type="pct"/>
            <w:gridSpan w:val="5"/>
            <w:vMerge/>
            <w:tcBorders>
              <w:left w:val="single" w:sz="4" w:space="0" w:color="000000"/>
            </w:tcBorders>
          </w:tcPr>
          <w:p w14:paraId="4529FB0F" w14:textId="77777777" w:rsidR="00FA4990" w:rsidRPr="00F011F8" w:rsidRDefault="00F011F8" w:rsidP="000A6561">
            <w:pPr>
              <w:pStyle w:val="TableParagraph"/>
              <w:tabs>
                <w:tab w:val="left" w:pos="5729"/>
                <w:tab w:val="left" w:pos="5854"/>
                <w:tab w:val="left" w:pos="7224"/>
                <w:tab w:val="left" w:pos="7774"/>
              </w:tabs>
              <w:ind w:left="0"/>
              <w:rPr>
                <w:szCs w:val="20"/>
              </w:rPr>
            </w:pPr>
          </w:p>
        </w:tc>
        <w:tc>
          <w:tcPr>
            <w:tcW w:w="733" w:type="pct"/>
          </w:tcPr>
          <w:p w14:paraId="769138C6" w14:textId="20A633D1" w:rsidR="00FA4990" w:rsidRPr="00F011F8" w:rsidRDefault="00F011F8" w:rsidP="000A6561">
            <w:pPr>
              <w:pStyle w:val="TableParagraph"/>
              <w:tabs>
                <w:tab w:val="left" w:pos="5729"/>
                <w:tab w:val="left" w:pos="5854"/>
                <w:tab w:val="left" w:pos="7224"/>
                <w:tab w:val="left" w:pos="7774"/>
              </w:tabs>
              <w:ind w:left="0"/>
              <w:rPr>
                <w:sz w:val="20"/>
                <w:szCs w:val="20"/>
              </w:rPr>
            </w:pPr>
            <w:r w:rsidRPr="00F011F8">
              <w:rPr>
                <w:szCs w:val="20"/>
                <w:lang w:val="en-US"/>
              </w:rPr>
              <w:t xml:space="preserve">(signature) </w:t>
            </w:r>
            <w:r>
              <w:rPr>
                <w:szCs w:val="20"/>
                <w:lang w:val="en-US"/>
              </w:rPr>
              <w:t>L</w:t>
            </w:r>
            <w:r w:rsidRPr="00F011F8">
              <w:rPr>
                <w:sz w:val="20"/>
                <w:szCs w:val="20"/>
                <w:lang w:val="en-US"/>
              </w:rPr>
              <w:t>.</w:t>
            </w:r>
            <w:r>
              <w:rPr>
                <w:sz w:val="20"/>
                <w:szCs w:val="20"/>
                <w:lang w:val="en-US"/>
              </w:rPr>
              <w:t>S</w:t>
            </w:r>
            <w:bookmarkStart w:id="0" w:name="_GoBack"/>
            <w:bookmarkEnd w:id="0"/>
            <w:r w:rsidRPr="00F011F8">
              <w:rPr>
                <w:sz w:val="20"/>
                <w:szCs w:val="20"/>
                <w:lang w:val="en-US"/>
              </w:rPr>
              <w:t>.</w:t>
            </w:r>
          </w:p>
        </w:tc>
        <w:tc>
          <w:tcPr>
            <w:tcW w:w="1445" w:type="pct"/>
            <w:tcBorders>
              <w:right w:val="single" w:sz="4" w:space="0" w:color="000000"/>
            </w:tcBorders>
          </w:tcPr>
          <w:p w14:paraId="3C3C0B53" w14:textId="77777777" w:rsidR="00FA4990" w:rsidRPr="00F011F8" w:rsidRDefault="00F011F8" w:rsidP="000A6561">
            <w:pPr>
              <w:pStyle w:val="TableParagraph"/>
              <w:tabs>
                <w:tab w:val="left" w:pos="5729"/>
                <w:tab w:val="left" w:pos="5854"/>
                <w:tab w:val="left" w:pos="7224"/>
                <w:tab w:val="left" w:pos="7774"/>
              </w:tabs>
              <w:ind w:left="0"/>
              <w:rPr>
                <w:sz w:val="20"/>
                <w:szCs w:val="20"/>
              </w:rPr>
            </w:pPr>
          </w:p>
        </w:tc>
      </w:tr>
      <w:tr w:rsidR="00CC0DF0" w:rsidRPr="00F011F8" w14:paraId="7EE3614C" w14:textId="77777777" w:rsidTr="000A65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14:paraId="09C97AF2" w14:textId="77777777" w:rsidR="00FA4990" w:rsidRPr="00F011F8" w:rsidRDefault="00F011F8" w:rsidP="000A6561">
            <w:pPr>
              <w:pStyle w:val="TableParagraph"/>
              <w:ind w:left="0"/>
              <w:rPr>
                <w:szCs w:val="20"/>
              </w:rPr>
            </w:pPr>
            <w:r w:rsidRPr="00F011F8">
              <w:rPr>
                <w:szCs w:val="20"/>
                <w:lang w:val="en-US"/>
              </w:rPr>
              <w:t>3.2. Date</w:t>
            </w:r>
          </w:p>
        </w:tc>
        <w:tc>
          <w:tcPr>
            <w:tcW w:w="467" w:type="pct"/>
            <w:tcBorders>
              <w:bottom w:val="single" w:sz="4" w:space="0" w:color="000000"/>
            </w:tcBorders>
          </w:tcPr>
          <w:p w14:paraId="117E5DA0" w14:textId="77777777" w:rsidR="00FA4990" w:rsidRPr="00F011F8" w:rsidRDefault="00F011F8" w:rsidP="00FA4990">
            <w:pPr>
              <w:pStyle w:val="TableParagraph"/>
              <w:ind w:left="0"/>
              <w:rPr>
                <w:szCs w:val="20"/>
              </w:rPr>
            </w:pPr>
            <w:r w:rsidRPr="00F011F8">
              <w:rPr>
                <w:szCs w:val="20"/>
                <w:lang w:val="en-US"/>
              </w:rPr>
              <w:t>November</w:t>
            </w:r>
          </w:p>
        </w:tc>
        <w:tc>
          <w:tcPr>
            <w:tcW w:w="668" w:type="pct"/>
            <w:tcBorders>
              <w:bottom w:val="single" w:sz="4" w:space="0" w:color="000000"/>
            </w:tcBorders>
          </w:tcPr>
          <w:p w14:paraId="37DA7015" w14:textId="77777777" w:rsidR="00FA4990" w:rsidRPr="00F011F8" w:rsidRDefault="00F011F8" w:rsidP="000A6561">
            <w:pPr>
              <w:pStyle w:val="TableParagraph"/>
              <w:ind w:left="0"/>
              <w:rPr>
                <w:szCs w:val="20"/>
              </w:rPr>
            </w:pPr>
            <w:r w:rsidRPr="00F011F8">
              <w:rPr>
                <w:szCs w:val="20"/>
                <w:lang w:val="en-US"/>
              </w:rPr>
              <w:t>"15",</w:t>
            </w:r>
          </w:p>
        </w:tc>
        <w:tc>
          <w:tcPr>
            <w:tcW w:w="3233" w:type="pct"/>
            <w:gridSpan w:val="4"/>
            <w:tcBorders>
              <w:bottom w:val="single" w:sz="4" w:space="0" w:color="000000"/>
              <w:right w:val="single" w:sz="4" w:space="0" w:color="000000"/>
            </w:tcBorders>
          </w:tcPr>
          <w:p w14:paraId="520AAEDE" w14:textId="77777777" w:rsidR="00FA4990" w:rsidRPr="00F011F8" w:rsidRDefault="00F011F8" w:rsidP="000A6561">
            <w:pPr>
              <w:pStyle w:val="TableParagraph"/>
              <w:spacing w:after="120"/>
              <w:ind w:left="0"/>
              <w:rPr>
                <w:szCs w:val="20"/>
              </w:rPr>
            </w:pPr>
            <w:r w:rsidRPr="00F011F8">
              <w:rPr>
                <w:szCs w:val="20"/>
                <w:lang w:val="en-US"/>
              </w:rPr>
              <w:t>2019</w:t>
            </w:r>
          </w:p>
        </w:tc>
      </w:tr>
    </w:tbl>
    <w:p w14:paraId="74189AF7" w14:textId="77777777" w:rsidR="00FA4990" w:rsidRPr="00F011F8" w:rsidRDefault="00F011F8" w:rsidP="00FA4990">
      <w:pPr>
        <w:rPr>
          <w:sz w:val="20"/>
          <w:szCs w:val="20"/>
        </w:rPr>
      </w:pPr>
    </w:p>
    <w:p w14:paraId="6EFDE765" w14:textId="77777777" w:rsidR="00FA4990" w:rsidRPr="00F011F8" w:rsidRDefault="00F011F8" w:rsidP="00FA4990">
      <w:pPr>
        <w:rPr>
          <w:sz w:val="20"/>
          <w:szCs w:val="20"/>
        </w:rPr>
      </w:pPr>
    </w:p>
    <w:sectPr w:rsidR="00FA4990" w:rsidRPr="00F011F8" w:rsidSect="00FA4990">
      <w:pgSz w:w="11910" w:h="1685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E2471"/>
    <w:multiLevelType w:val="multilevel"/>
    <w:tmpl w:val="2CDEC6CE"/>
    <w:lvl w:ilvl="0">
      <w:start w:val="2"/>
      <w:numFmt w:val="decimal"/>
      <w:lvlText w:val="%1"/>
      <w:lvlJc w:val="left"/>
      <w:pPr>
        <w:ind w:left="170" w:hanging="495"/>
        <w:jc w:val="left"/>
      </w:pPr>
      <w:rPr>
        <w:rFonts w:hint="default"/>
        <w:lang w:val="ru-RU" w:eastAsia="ru-RU" w:bidi="ru-RU"/>
      </w:rPr>
    </w:lvl>
    <w:lvl w:ilvl="1">
      <w:start w:val="1"/>
      <w:numFmt w:val="decimal"/>
      <w:lvlText w:val="%1.%2."/>
      <w:lvlJc w:val="left"/>
      <w:pPr>
        <w:ind w:left="170" w:hanging="495"/>
        <w:jc w:val="left"/>
      </w:pPr>
      <w:rPr>
        <w:rFonts w:ascii="Times New Roman" w:eastAsia="Times New Roman" w:hAnsi="Times New Roman" w:cs="Times New Roman" w:hint="default"/>
        <w:i w:val="0"/>
        <w:spacing w:val="0"/>
        <w:w w:val="100"/>
        <w:sz w:val="24"/>
        <w:szCs w:val="24"/>
        <w:lang w:val="ru-RU" w:eastAsia="ru-RU" w:bidi="ru-RU"/>
      </w:rPr>
    </w:lvl>
    <w:lvl w:ilvl="2">
      <w:start w:val="1"/>
      <w:numFmt w:val="decimal"/>
      <w:lvlText w:val="%3."/>
      <w:lvlJc w:val="left"/>
      <w:pPr>
        <w:ind w:left="748" w:hanging="348"/>
        <w:jc w:val="left"/>
      </w:pPr>
      <w:rPr>
        <w:rFonts w:hint="default"/>
        <w:b/>
        <w:bCs/>
        <w:i/>
        <w:spacing w:val="0"/>
        <w:w w:val="100"/>
        <w:lang w:val="ru-RU" w:eastAsia="ru-RU" w:bidi="ru-RU"/>
      </w:rPr>
    </w:lvl>
    <w:lvl w:ilvl="3">
      <w:numFmt w:val="bullet"/>
      <w:lvlText w:val="•"/>
      <w:lvlJc w:val="left"/>
      <w:pPr>
        <w:ind w:left="2779" w:hanging="348"/>
      </w:pPr>
      <w:rPr>
        <w:rFonts w:hint="default"/>
        <w:lang w:val="ru-RU" w:eastAsia="ru-RU" w:bidi="ru-RU"/>
      </w:rPr>
    </w:lvl>
    <w:lvl w:ilvl="4">
      <w:numFmt w:val="bullet"/>
      <w:lvlText w:val="•"/>
      <w:lvlJc w:val="left"/>
      <w:pPr>
        <w:ind w:left="3799" w:hanging="348"/>
      </w:pPr>
      <w:rPr>
        <w:rFonts w:hint="default"/>
        <w:lang w:val="ru-RU" w:eastAsia="ru-RU" w:bidi="ru-RU"/>
      </w:rPr>
    </w:lvl>
    <w:lvl w:ilvl="5">
      <w:numFmt w:val="bullet"/>
      <w:lvlText w:val="•"/>
      <w:lvlJc w:val="left"/>
      <w:pPr>
        <w:ind w:left="4819" w:hanging="348"/>
      </w:pPr>
      <w:rPr>
        <w:rFonts w:hint="default"/>
        <w:lang w:val="ru-RU" w:eastAsia="ru-RU" w:bidi="ru-RU"/>
      </w:rPr>
    </w:lvl>
    <w:lvl w:ilvl="6">
      <w:numFmt w:val="bullet"/>
      <w:lvlText w:val="•"/>
      <w:lvlJc w:val="left"/>
      <w:pPr>
        <w:ind w:left="5838" w:hanging="348"/>
      </w:pPr>
      <w:rPr>
        <w:rFonts w:hint="default"/>
        <w:lang w:val="ru-RU" w:eastAsia="ru-RU" w:bidi="ru-RU"/>
      </w:rPr>
    </w:lvl>
    <w:lvl w:ilvl="7">
      <w:numFmt w:val="bullet"/>
      <w:lvlText w:val="•"/>
      <w:lvlJc w:val="left"/>
      <w:pPr>
        <w:ind w:left="6858" w:hanging="348"/>
      </w:pPr>
      <w:rPr>
        <w:rFonts w:hint="default"/>
        <w:lang w:val="ru-RU" w:eastAsia="ru-RU" w:bidi="ru-RU"/>
      </w:rPr>
    </w:lvl>
    <w:lvl w:ilvl="8">
      <w:numFmt w:val="bullet"/>
      <w:lvlText w:val="•"/>
      <w:lvlJc w:val="left"/>
      <w:pPr>
        <w:ind w:left="7878" w:hanging="348"/>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CC0DF0"/>
    <w:rsid w:val="00CC0DF0"/>
    <w:rsid w:val="00F01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3B9B0"/>
  <w15:docId w15:val="{A132D786-B83B-426F-A0D7-1153354B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667044"/>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667044"/>
    <w:tblPr>
      <w:tblInd w:w="0" w:type="dxa"/>
      <w:tblCellMar>
        <w:top w:w="0" w:type="dxa"/>
        <w:left w:w="0" w:type="dxa"/>
        <w:bottom w:w="0" w:type="dxa"/>
        <w:right w:w="0" w:type="dxa"/>
      </w:tblCellMar>
    </w:tblPr>
  </w:style>
  <w:style w:type="paragraph" w:styleId="a3">
    <w:name w:val="Body Text"/>
    <w:basedOn w:val="a"/>
    <w:uiPriority w:val="1"/>
    <w:qFormat/>
    <w:rsid w:val="00667044"/>
    <w:pPr>
      <w:ind w:left="549" w:right="280"/>
      <w:jc w:val="center"/>
    </w:pPr>
    <w:rPr>
      <w:b/>
      <w:bCs/>
      <w:sz w:val="24"/>
      <w:szCs w:val="24"/>
    </w:rPr>
  </w:style>
  <w:style w:type="paragraph" w:styleId="a4">
    <w:name w:val="List Paragraph"/>
    <w:basedOn w:val="a"/>
    <w:uiPriority w:val="1"/>
    <w:qFormat/>
    <w:rsid w:val="00667044"/>
  </w:style>
  <w:style w:type="paragraph" w:customStyle="1" w:styleId="TableParagraph">
    <w:name w:val="Table Paragraph"/>
    <w:basedOn w:val="a"/>
    <w:uiPriority w:val="1"/>
    <w:qFormat/>
    <w:rsid w:val="00667044"/>
    <w:pPr>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isclosure.ru/portal/company.aspx?id=11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11999" TargetMode="External"/><Relationship Id="rId5" Type="http://schemas.openxmlformats.org/officeDocument/2006/relationships/hyperlink" Target="http://www.mrsk-yug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424</Words>
  <Characters>2418</Characters>
  <Application>Microsoft Office Word</Application>
  <DocSecurity>0</DocSecurity>
  <Lines>20</Lines>
  <Paragraphs>5</Paragraphs>
  <ScaleCrop>false</ScaleCrop>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Елизавета Пантина</cp:lastModifiedBy>
  <cp:revision>5</cp:revision>
  <dcterms:created xsi:type="dcterms:W3CDTF">2019-12-28T21:10:00Z</dcterms:created>
  <dcterms:modified xsi:type="dcterms:W3CDTF">2020-01-20T13:44:00Z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2019-11-15T00:00:00Z</vt:filetime>
  </property>
  <property fmtid="{D5CDD505-2E9C-101B-9397-08002B2CF9AE}" pid="3" name="Creator">
    <vt:lpwstr>Microsoft® Word 2016</vt:lpwstr>
  </property>
  <property fmtid="{D5CDD505-2E9C-101B-9397-08002B2CF9AE}" pid="4" name="LastSaved">
    <vt:filetime>2019-12-28T00:00:00Z</vt:filetime>
  </property>
</Properties>
</file>